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A053" w14:textId="77777777" w:rsidR="00AB647A" w:rsidRPr="00AB647A" w:rsidRDefault="00AB647A" w:rsidP="00AB647A">
      <w:pPr>
        <w:rPr>
          <w:rFonts w:ascii="Arial" w:hAnsi="Arial" w:cs="Arial"/>
          <w:lang w:val="bg-BG"/>
        </w:rPr>
      </w:pPr>
      <w:r w:rsidRPr="00AB647A">
        <w:rPr>
          <w:rFonts w:ascii="Arial" w:hAnsi="Arial" w:cs="Arial"/>
          <w:lang w:val="bg-BG"/>
        </w:rPr>
        <w:t>Глава пета.</w:t>
      </w:r>
      <w:r w:rsidRPr="00AB647A">
        <w:rPr>
          <w:rFonts w:ascii="Arial" w:hAnsi="Arial" w:cs="Arial"/>
          <w:lang w:val="bg-BG"/>
        </w:rPr>
        <w:br/>
        <w:t>ОБМЕН НА ИНФОРМАЦИЯ И ВЗАИМОДЕЙСТВИЕ (НОВА - ДВ, БР. 105 ОТ 2005 Г., В СИЛА ОТ 01.01.2006 Г.)</w:t>
      </w:r>
      <w:r w:rsidRPr="00AB647A">
        <w:rPr>
          <w:rFonts w:ascii="Arial" w:hAnsi="Arial" w:cs="Arial"/>
          <w:lang w:val="bg-BG"/>
        </w:rPr>
        <w:br/>
        <w:t>Текущо предоставяне на информация</w:t>
      </w:r>
      <w:r w:rsidRPr="00AB647A">
        <w:rPr>
          <w:rFonts w:ascii="Arial" w:hAnsi="Arial" w:cs="Arial"/>
          <w:lang w:val="bg-BG"/>
        </w:rPr>
        <w:br/>
        <w:t>Чл. 22. (Нов - ДВ, бр. 105 от 2005 г., в сила от 01.01.2006 г.) (1) Държавните и общинските органи, компетентни да регистрират или издават разрешения за извършване на определен вид търговска дейност, уведомяват агенцията за регистрираните лица или обекти и за издадените разрешения, както и за прекратената регистрация или отнетите разрешения до 15-о число на месеца, следващ тримесечието.</w:t>
      </w:r>
      <w:r w:rsidRPr="00AB647A">
        <w:rPr>
          <w:rFonts w:ascii="Arial" w:hAnsi="Arial" w:cs="Arial"/>
          <w:lang w:val="bg-BG"/>
        </w:rPr>
        <w:br/>
        <w:t>(2) Органите, компетентни да регистрират превозни средства, включително въздухоплавателни и плавателни средства, уведомяват агенцията за регистрираните, отчислените и спрените от движение превозни средства ежемесечно до 15-о число на следващия месец.</w:t>
      </w:r>
      <w:r w:rsidRPr="00AB647A">
        <w:rPr>
          <w:rFonts w:ascii="Arial" w:hAnsi="Arial" w:cs="Arial"/>
          <w:lang w:val="bg-BG"/>
        </w:rPr>
        <w:br/>
        <w:t>(3) Съдиите по вписванията уведомяват агенцията за прехвърлените, учредените, изменените или прекратените вещни права върху недвижими имоти, както и за учредените, изменените и заличените ипотеки ежемесечно до 15-о число на следващия месец.</w:t>
      </w:r>
      <w:r w:rsidRPr="00AB647A">
        <w:rPr>
          <w:rFonts w:ascii="Arial" w:hAnsi="Arial" w:cs="Arial"/>
          <w:lang w:val="bg-BG"/>
        </w:rPr>
        <w:br/>
        <w:t>(4) Общините уведомяват агенцията за декларираните недвижими имоти, превозни средства, открити наследства, придобитите имущества по възмезден и безвъзмезден начин по Закона за местните данъци и такси, както и за регистрираните търговски обекти до 15-о число на следващия месец.</w:t>
      </w:r>
      <w:r w:rsidRPr="00AB647A">
        <w:rPr>
          <w:rFonts w:ascii="Arial" w:hAnsi="Arial" w:cs="Arial"/>
          <w:lang w:val="bg-BG"/>
        </w:rPr>
        <w:br/>
        <w:t>(5) (Нова - ДВ, бр. 95 от 2009 г., в сила от 01.01.2010 г., изм. - ДВ, бр. 38 от 2020 г., в сила от 01.01.2022 г.) Органите на Националната агенция за приходите ползват за целите на агенцията данни от годишните отчети за дейността на лицата, задължени да ги предоставят съгласно Закона за корпоративното подоходно облагане и Закона за данъците върху доходите на физическите лица.</w:t>
      </w:r>
      <w:r w:rsidRPr="00AB647A">
        <w:rPr>
          <w:rFonts w:ascii="Arial" w:hAnsi="Arial" w:cs="Arial"/>
          <w:lang w:val="bg-BG"/>
        </w:rPr>
        <w:br/>
        <w:t>(6) (Предишна ал. 5, изм. - ДВ, бр. 95 от 2009 г., в сила от 01.01.2010 г., изм. - ДВ, бр. 38 от 2020 г., в сила от 01.01.2022 г.) Редът за предоставяне на информацията по ал. 1 - 4 и за ползване на данните по ал. 5 се определя с инструкции, издавани съвместно от:</w:t>
      </w:r>
      <w:r w:rsidRPr="00AB647A">
        <w:rPr>
          <w:rFonts w:ascii="Arial" w:hAnsi="Arial" w:cs="Arial"/>
          <w:lang w:val="bg-BG"/>
        </w:rPr>
        <w:br/>
        <w:t>1. министъра на финансите и съответния министър;</w:t>
      </w:r>
      <w:r w:rsidRPr="00AB647A">
        <w:rPr>
          <w:rFonts w:ascii="Arial" w:hAnsi="Arial" w:cs="Arial"/>
          <w:lang w:val="bg-BG"/>
        </w:rPr>
        <w:br/>
        <w:t>2. изпълнителния директор и ръководителя на съответната администрация, когато информацията не се предоставя от министерство.</w:t>
      </w:r>
      <w:r w:rsidRPr="00AB647A">
        <w:rPr>
          <w:rFonts w:ascii="Arial" w:hAnsi="Arial" w:cs="Arial"/>
          <w:lang w:val="bg-BG"/>
        </w:rPr>
        <w:br/>
        <w:t>(7) (Предишна ал. 6 - ДВ, бр. 95 от 2009 г., в сила от 01.01.2010 г.) Редът за предоставяне на информация от общините се урежда с инструкция на министъра на финансите, съгласувана с Националното сдружение на общините на Република България.</w:t>
      </w:r>
      <w:r w:rsidRPr="00AB647A">
        <w:rPr>
          <w:rFonts w:ascii="Arial" w:hAnsi="Arial" w:cs="Arial"/>
          <w:lang w:val="bg-BG"/>
        </w:rPr>
        <w:br/>
        <w:t>            </w:t>
      </w:r>
      <w:r w:rsidRPr="00AB647A">
        <w:rPr>
          <w:rFonts w:ascii="Arial" w:hAnsi="Arial" w:cs="Arial"/>
          <w:lang w:val="bg-BG"/>
        </w:rPr>
        <w:br/>
        <w:t>Текущ обмен на информация</w:t>
      </w:r>
      <w:r w:rsidRPr="00AB647A">
        <w:rPr>
          <w:rFonts w:ascii="Arial" w:hAnsi="Arial" w:cs="Arial"/>
          <w:lang w:val="bg-BG"/>
        </w:rPr>
        <w:br/>
        <w:t>Чл. 23. (Нов - ДВ, бр. 105 от 2005 г., в сила от 01.01.2006 г.) Редът за осигуряване на текущия обмен на информация между агенцията, министерствата, контролните органи на Министерството на финансите, Националния осигурителен институт, Националната здравноосигурителна каса, Изпълнителната агенция "Главна инспекция по труда" и общините се определя с инструкции, издавани от:</w:t>
      </w:r>
      <w:r w:rsidRPr="00AB647A">
        <w:rPr>
          <w:rFonts w:ascii="Arial" w:hAnsi="Arial" w:cs="Arial"/>
          <w:lang w:val="bg-BG"/>
        </w:rPr>
        <w:br/>
        <w:t>1. министъра на финансите и съответния министър;</w:t>
      </w:r>
      <w:r w:rsidRPr="00AB647A">
        <w:rPr>
          <w:rFonts w:ascii="Arial" w:hAnsi="Arial" w:cs="Arial"/>
          <w:lang w:val="bg-BG"/>
        </w:rPr>
        <w:br/>
        <w:t>2. изпълнителния директор и ръководителя на съответната администрация, когато информацията не се обменя с министерство;</w:t>
      </w:r>
    </w:p>
    <w:p w14:paraId="66734BA5" w14:textId="77777777" w:rsidR="00AB647A" w:rsidRPr="00AB647A" w:rsidRDefault="00AB647A" w:rsidP="00AB647A">
      <w:pPr>
        <w:rPr>
          <w:rFonts w:ascii="Arial" w:hAnsi="Arial" w:cs="Arial"/>
          <w:lang w:val="bg-BG"/>
        </w:rPr>
      </w:pPr>
      <w:r w:rsidRPr="00AB647A">
        <w:rPr>
          <w:rFonts w:ascii="Arial" w:hAnsi="Arial" w:cs="Arial"/>
          <w:lang w:val="bg-BG"/>
        </w:rPr>
        <w:lastRenderedPageBreak/>
        <w:t>3. министъра на финансите, съгласувано с Националното сдружение на общините на Република България.</w:t>
      </w:r>
      <w:r w:rsidRPr="00AB647A">
        <w:rPr>
          <w:rFonts w:ascii="Arial" w:hAnsi="Arial" w:cs="Arial"/>
          <w:lang w:val="bg-BG"/>
        </w:rPr>
        <w:br/>
        <w:t>            </w:t>
      </w:r>
      <w:r w:rsidRPr="00AB647A">
        <w:rPr>
          <w:rFonts w:ascii="Arial" w:hAnsi="Arial" w:cs="Arial"/>
          <w:lang w:val="bg-BG"/>
        </w:rPr>
        <w:br/>
        <w:t>Събиране и предоставяне на данни</w:t>
      </w:r>
      <w:r w:rsidRPr="00AB647A">
        <w:rPr>
          <w:rFonts w:ascii="Arial" w:hAnsi="Arial" w:cs="Arial"/>
          <w:lang w:val="bg-BG"/>
        </w:rPr>
        <w:br/>
        <w:t>Чл. 24. (Нов - ДВ, бр. 105 от 2005 г., в сила от 01.01.2006 г.) (1) Съдилищата и общините, държавните и общинските органи и Националният статистически институт предоставят на агенцията необходимата за осъществяването на функциите и правомощията ѝ информация безплатно.</w:t>
      </w:r>
      <w:r w:rsidRPr="00AB647A">
        <w:rPr>
          <w:rFonts w:ascii="Arial" w:hAnsi="Arial" w:cs="Arial"/>
          <w:lang w:val="bg-BG"/>
        </w:rPr>
        <w:br/>
        <w:t>(2) За целите на статистиката, планирането и анализа на прилагането на данъчното и осигурителното законодателство изпълнителният директор определя лицата, които предоставят информация по образец, утвърден със заповед, която се обнародва в "Държавен вестник".</w:t>
      </w:r>
      <w:r w:rsidRPr="00AB647A">
        <w:rPr>
          <w:rFonts w:ascii="Arial" w:hAnsi="Arial" w:cs="Arial"/>
          <w:lang w:val="bg-BG"/>
        </w:rPr>
        <w:br/>
        <w:t>            </w:t>
      </w:r>
      <w:r w:rsidRPr="00AB647A">
        <w:rPr>
          <w:rFonts w:ascii="Arial" w:hAnsi="Arial" w:cs="Arial"/>
          <w:lang w:val="bg-BG"/>
        </w:rPr>
        <w:br/>
        <w:t>Обмен на информация с търговските банки и другите доставчици на платежни услуги (Загл. доп. - ДВ, бр. 96 от 2019 г., в сила от 01.01.2020 г., изм. - ДВ, бр. 30 от 2026 г., в сила от 27.03.2026 г.)</w:t>
      </w:r>
      <w:r w:rsidRPr="00AB647A">
        <w:rPr>
          <w:rFonts w:ascii="Arial" w:hAnsi="Arial" w:cs="Arial"/>
          <w:lang w:val="bg-BG"/>
        </w:rPr>
        <w:br/>
        <w:t>Чл. 25. (Нов - ДВ, бр. 105 от 2005 г., в сила от 01.01.2006 г.) (1) (Изм. и доп. - ДВ, бр. 96 от 2019 г., в сила от 01.01.2020 г., изм. - ДВ, бр. 30 от 2026 г., в сила от 27.03.2026 г.) Лицата по чл. 56а, ал. 2 от Закона за кредитните институции предоставят информацията по ал. 1 от същата разпоредба на Националната агенция за приходите най-малко веднъж седмично. Информацията се предоставя в срок и с обхват съгласно изискванията, определени в наредбата по чл. 56а, ал. 8 от Закона за кредитните институции.</w:t>
      </w:r>
    </w:p>
    <w:p w14:paraId="7029DB52" w14:textId="77777777" w:rsidR="00AB647A" w:rsidRPr="00AB647A" w:rsidRDefault="00AB647A" w:rsidP="00AB647A">
      <w:pPr>
        <w:rPr>
          <w:rFonts w:ascii="Arial" w:hAnsi="Arial" w:cs="Arial"/>
          <w:lang w:val="bg-BG"/>
        </w:rPr>
      </w:pPr>
      <w:r w:rsidRPr="00AB647A">
        <w:rPr>
          <w:rFonts w:ascii="Arial" w:hAnsi="Arial" w:cs="Arial"/>
          <w:lang w:val="bg-BG"/>
        </w:rPr>
        <w:t xml:space="preserve">(2) (Изм. и доп. - ДВ, бр. 96 от 2019 г., в сила от 01.01.2020 г., изм. - ДВ, бр. 30 от 2026 г., в сила от 27.03.2026 г.) Търговските банки, клоновете на чуждестранните банки и другите доставчици на платежни услуги уведомяват в 7-дневен срок агенцията за предоставени терминални устройства ПОС (POS Terminal и </w:t>
      </w:r>
      <w:proofErr w:type="spellStart"/>
      <w:r w:rsidRPr="00AB647A">
        <w:rPr>
          <w:rFonts w:ascii="Arial" w:hAnsi="Arial" w:cs="Arial"/>
          <w:lang w:val="bg-BG"/>
        </w:rPr>
        <w:t>Virtual</w:t>
      </w:r>
      <w:proofErr w:type="spellEnd"/>
      <w:r w:rsidRPr="00AB647A">
        <w:rPr>
          <w:rFonts w:ascii="Arial" w:hAnsi="Arial" w:cs="Arial"/>
          <w:lang w:val="bg-BG"/>
        </w:rPr>
        <w:t xml:space="preserve"> POS Terminal) на:</w:t>
      </w:r>
    </w:p>
    <w:p w14:paraId="10CFC597" w14:textId="77777777" w:rsidR="00AB647A" w:rsidRPr="00AB647A" w:rsidRDefault="00AB647A" w:rsidP="00AB647A">
      <w:pPr>
        <w:rPr>
          <w:rFonts w:ascii="Arial" w:hAnsi="Arial" w:cs="Arial"/>
          <w:lang w:val="bg-BG"/>
        </w:rPr>
      </w:pPr>
      <w:r w:rsidRPr="00AB647A">
        <w:rPr>
          <w:rFonts w:ascii="Arial" w:hAnsi="Arial" w:cs="Arial"/>
          <w:lang w:val="bg-BG"/>
        </w:rPr>
        <w:t>1. едноличните търговци, местните юридически лица, включително тези с нестопанска цел, и клоновете на чуждестранните лица;</w:t>
      </w:r>
      <w:r w:rsidRPr="00AB647A">
        <w:rPr>
          <w:rFonts w:ascii="Arial" w:hAnsi="Arial" w:cs="Arial"/>
          <w:lang w:val="bg-BG"/>
        </w:rPr>
        <w:br/>
        <w:t xml:space="preserve">2. </w:t>
      </w:r>
      <w:proofErr w:type="spellStart"/>
      <w:r w:rsidRPr="00AB647A">
        <w:rPr>
          <w:rFonts w:ascii="Arial" w:hAnsi="Arial" w:cs="Arial"/>
          <w:lang w:val="bg-BG"/>
        </w:rPr>
        <w:t>неперсонифицираните</w:t>
      </w:r>
      <w:proofErr w:type="spellEnd"/>
      <w:r w:rsidRPr="00AB647A">
        <w:rPr>
          <w:rFonts w:ascii="Arial" w:hAnsi="Arial" w:cs="Arial"/>
          <w:lang w:val="bg-BG"/>
        </w:rPr>
        <w:t xml:space="preserve"> дружества и осигурителните каси;</w:t>
      </w:r>
      <w:r w:rsidRPr="00AB647A">
        <w:rPr>
          <w:rFonts w:ascii="Arial" w:hAnsi="Arial" w:cs="Arial"/>
          <w:lang w:val="bg-BG"/>
        </w:rPr>
        <w:br/>
        <w:t>3. чуждестранните юридически лица, които са регистрирали търговско представителство;</w:t>
      </w:r>
      <w:r w:rsidRPr="00AB647A">
        <w:rPr>
          <w:rFonts w:ascii="Arial" w:hAnsi="Arial" w:cs="Arial"/>
          <w:lang w:val="bg-BG"/>
        </w:rPr>
        <w:br/>
        <w:t>4. чуждестранните лица, които осъществяват стопанска дейност в страната, включително чрез място на стопанска дейност.</w:t>
      </w:r>
      <w:r w:rsidRPr="00AB647A">
        <w:rPr>
          <w:rFonts w:ascii="Arial" w:hAnsi="Arial" w:cs="Arial"/>
          <w:lang w:val="bg-BG"/>
        </w:rPr>
        <w:br/>
        <w:t xml:space="preserve">(3) (Нова - ДВ, бр. 96 от 2019 г., в сила от 01.01.2020 г., изм. - ДВ, бр. 30 от 2026 г., в сила от 27.03.2026 г.) Банките и другите доставчици на платежни услуги предоставят ежемесечно до 10-о число на месеца, следващ месеца, за който се отнася, информация на Националната агенция за приходите за броя и стойността на транзакциите по платежна сметка, извършени чрез терминални устройства ПОС (POS Terminal и </w:t>
      </w:r>
      <w:proofErr w:type="spellStart"/>
      <w:r w:rsidRPr="00AB647A">
        <w:rPr>
          <w:rFonts w:ascii="Arial" w:hAnsi="Arial" w:cs="Arial"/>
          <w:lang w:val="bg-BG"/>
        </w:rPr>
        <w:t>Virtual</w:t>
      </w:r>
      <w:proofErr w:type="spellEnd"/>
      <w:r w:rsidRPr="00AB647A">
        <w:rPr>
          <w:rFonts w:ascii="Arial" w:hAnsi="Arial" w:cs="Arial"/>
          <w:lang w:val="bg-BG"/>
        </w:rPr>
        <w:t xml:space="preserve"> POS Terminal), във формат, определен от изпълнителния директор на агенцията след консултация със заинтересованите страни.</w:t>
      </w:r>
      <w:r w:rsidRPr="00AB647A">
        <w:rPr>
          <w:rFonts w:ascii="Arial" w:hAnsi="Arial" w:cs="Arial"/>
          <w:lang w:val="bg-BG"/>
        </w:rPr>
        <w:br/>
        <w:t>(4) (Нова - ДВ, бр. 30 от 2026 г., в сила от 27.03.2026 г.) Националната агенция за приходите използва информацията по ал. 1 - 3 само за целите на изпълнението на законоустановените ѝ функции, като не се допуска предоставянето на същата на трети лица.</w:t>
      </w:r>
      <w:r w:rsidRPr="00AB647A">
        <w:rPr>
          <w:rFonts w:ascii="Arial" w:hAnsi="Arial" w:cs="Arial"/>
          <w:lang w:val="bg-BG"/>
        </w:rPr>
        <w:br/>
        <w:t xml:space="preserve">(5) (Нова - ДВ, бр. 30 от 2026 г., в сила от 27.03.2026 г.) Търговските банки и клоновете на чуждестранните банки получават от Националната агенция за приходите, чрез Информационната система за обмен на справочна и удостоверителна информация </w:t>
      </w:r>
      <w:r w:rsidRPr="00AB647A">
        <w:rPr>
          <w:rFonts w:ascii="Arial" w:hAnsi="Arial" w:cs="Arial"/>
          <w:lang w:val="bg-BG"/>
        </w:rPr>
        <w:lastRenderedPageBreak/>
        <w:t>(REGIX), данни от Регистъра на заетостта, както и данни за осигурените лица, включително лични данни и данъчна и осигурителна информация, за целите на оценката на кредитоспособността по Закона за потребителския кредит и Закона за кредитите за недвижими имоти на потребители.</w:t>
      </w:r>
      <w:r w:rsidRPr="00AB647A">
        <w:rPr>
          <w:rFonts w:ascii="Arial" w:hAnsi="Arial" w:cs="Arial"/>
          <w:lang w:val="bg-BG"/>
        </w:rPr>
        <w:br/>
        <w:t>            </w:t>
      </w:r>
      <w:r w:rsidRPr="00AB647A">
        <w:rPr>
          <w:rFonts w:ascii="Arial" w:hAnsi="Arial" w:cs="Arial"/>
          <w:lang w:val="bg-BG"/>
        </w:rPr>
        <w:br/>
        <w:t>Информация от Българската народна банка</w:t>
      </w:r>
      <w:r w:rsidRPr="00AB647A">
        <w:rPr>
          <w:rFonts w:ascii="Arial" w:hAnsi="Arial" w:cs="Arial"/>
          <w:lang w:val="bg-BG"/>
        </w:rPr>
        <w:br/>
        <w:t>Чл. 25а. (1) (Нов - ДВ, бр. 109 от 2013 г., в сила от 01.01.2014 г., предишен текст на чл. 25а, доп. - ДВ, бр. 95 от 2015 г., в сила от 01.01.2016 г.) Българската народна банка предоставя на агенцията достъп до информацията, събрана съгласно чл. 56 от Закона за кредитните институции, за паричните задължения на клиентите към банките и към финансовите институции, както и към платежни институции и дружества за електронни пари.</w:t>
      </w:r>
      <w:r w:rsidRPr="00AB647A">
        <w:rPr>
          <w:rFonts w:ascii="Arial" w:hAnsi="Arial" w:cs="Arial"/>
          <w:lang w:val="bg-BG"/>
        </w:rPr>
        <w:br/>
        <w:t>(2) (Нова - ДВ, бр. 95 от 2015 г., в сила от 01.01.2016 г.) Органите и служителите на агенцията са длъжни да опазват тайната на получената информация и да я използват само за целите на извършваните от тях проверки и ревизии.</w:t>
      </w:r>
      <w:r w:rsidRPr="00AB647A">
        <w:rPr>
          <w:rFonts w:ascii="Arial" w:hAnsi="Arial" w:cs="Arial"/>
          <w:lang w:val="bg-BG"/>
        </w:rPr>
        <w:br/>
        <w:t>(3) (Нова - ДВ, бр. 95 от 2015 г., в сила от 01.01.2016 г., отм. - ДВ, бр. 94 от 2019 г.)</w:t>
      </w:r>
      <w:r w:rsidRPr="00AB647A">
        <w:rPr>
          <w:rFonts w:ascii="Arial" w:hAnsi="Arial" w:cs="Arial"/>
          <w:lang w:val="bg-BG"/>
        </w:rPr>
        <w:br/>
        <w:t>            </w:t>
      </w:r>
      <w:r w:rsidRPr="00AB647A">
        <w:rPr>
          <w:rFonts w:ascii="Arial" w:hAnsi="Arial" w:cs="Arial"/>
          <w:lang w:val="bg-BG"/>
        </w:rPr>
        <w:br/>
        <w:t>Данни от пощенските оператори</w:t>
      </w:r>
      <w:r w:rsidRPr="00AB647A">
        <w:rPr>
          <w:rFonts w:ascii="Arial" w:hAnsi="Arial" w:cs="Arial"/>
          <w:lang w:val="bg-BG"/>
        </w:rPr>
        <w:br/>
        <w:t>Чл. 25б. (Нов - ДВ, бр. 102 от 2022 г., в сила от 01.01.2023 г.) (1) (Изм. - ДВ, бр. 66 от 2023 г., в сила от 05.08.2023 г.) Пощенските оператори предоставят на агенцията данните по чл. 20, ал. 1, т. 11 от Закона за пощенските услуги, включително и информация за изпращаните пощенски пратки и размера на изплатените суми от наложен платеж по ред, начин и формат, определени със заповед на изпълнителния директор на агенцията.</w:t>
      </w:r>
      <w:r w:rsidRPr="00AB647A">
        <w:rPr>
          <w:rFonts w:ascii="Arial" w:hAnsi="Arial" w:cs="Arial"/>
          <w:lang w:val="bg-BG"/>
        </w:rPr>
        <w:br/>
        <w:t>(2) (Изм. - ДВ, бр. 66 от 2023 г., в сила от 05.08.2023 г.) Пощенските оператори предоставят данните и информацията по ал. 1 за всяко тримесечие до 30-о число на месеца, следващ тримесечието, за който се отнася.</w:t>
      </w:r>
      <w:r w:rsidRPr="00AB647A">
        <w:rPr>
          <w:rFonts w:ascii="Arial" w:hAnsi="Arial" w:cs="Arial"/>
          <w:lang w:val="bg-BG"/>
        </w:rPr>
        <w:br/>
        <w:t>            </w:t>
      </w:r>
      <w:r w:rsidRPr="00AB647A">
        <w:rPr>
          <w:rFonts w:ascii="Arial" w:hAnsi="Arial" w:cs="Arial"/>
          <w:lang w:val="bg-BG"/>
        </w:rPr>
        <w:br/>
        <w:t>Данни за доходи на физически лица</w:t>
      </w:r>
      <w:r w:rsidRPr="00AB647A">
        <w:rPr>
          <w:rFonts w:ascii="Arial" w:hAnsi="Arial" w:cs="Arial"/>
          <w:lang w:val="bg-BG"/>
        </w:rPr>
        <w:br/>
        <w:t>Чл. 25в. (Нов - ДВ, бр. 102 от 2022 г., в сила от 01.01.2023 г.) (1) Министерството на труда и социалната политика, Агенцията за социално подпомагане, Националният осигурителен институт и Националната здравноосигурителна каса предоставят за обработване и обобщаване на агенцията индивидуални данни за изплатени доходи на физическите лица от социално подпомагане, държавно обществено осигуряване, допълнително социално осигуряване и месечна финансова подкрепа по Закона за хората с увреждания, и личната помощ по Закона за личната помощ.</w:t>
      </w:r>
      <w:r w:rsidRPr="00AB647A">
        <w:rPr>
          <w:rFonts w:ascii="Arial" w:hAnsi="Arial" w:cs="Arial"/>
          <w:lang w:val="bg-BG"/>
        </w:rPr>
        <w:br/>
        <w:t>(2) Предоставянето на индивидуалните данни за изплатени доходи се извършва по реда на Закона за електронното управление, с изключение на данъчна и осигурителна информация по смисъла на чл. 72 от Данъчно-осигурителния процесуален кодекс.</w:t>
      </w:r>
      <w:r w:rsidRPr="00AB647A">
        <w:rPr>
          <w:rFonts w:ascii="Arial" w:hAnsi="Arial" w:cs="Arial"/>
          <w:lang w:val="bg-BG"/>
        </w:rPr>
        <w:br/>
        <w:t>(3) Видът на обменяните данни се съгласува от лицата по ал. 1 с министъра на електронното управление.</w:t>
      </w:r>
      <w:r w:rsidRPr="00AB647A">
        <w:rPr>
          <w:rFonts w:ascii="Arial" w:hAnsi="Arial" w:cs="Arial"/>
          <w:lang w:val="bg-BG"/>
        </w:rPr>
        <w:br/>
        <w:t>(4) (Отм. - ДВ, бр. 30 от 2026 г., в сила от 27.03.2026 г.)</w:t>
      </w:r>
      <w:r w:rsidRPr="00AB647A">
        <w:rPr>
          <w:rFonts w:ascii="Arial" w:hAnsi="Arial" w:cs="Arial"/>
          <w:lang w:val="bg-BG"/>
        </w:rPr>
        <w:br/>
        <w:t>(5) Министърът на финансите или оправомощени от него длъжностни лица имат право на достъп до обобщени данни за доходи на физически лица, включително доходи от социално подпомагане, държавно обществено осигуряване и допълнително социално осигуряване, с изключение на данъчна и осигурителна информация по смисъла на чл. 72 от Данъчно-осигурителния процесуален кодекс.</w:t>
      </w:r>
    </w:p>
    <w:p w14:paraId="0DDBDB72" w14:textId="38977444" w:rsidR="00AB647A" w:rsidRPr="00AB647A" w:rsidRDefault="00AB647A" w:rsidP="00AB647A">
      <w:pPr>
        <w:rPr>
          <w:rFonts w:ascii="Arial" w:hAnsi="Arial" w:cs="Arial"/>
          <w:lang w:val="bg-BG"/>
        </w:rPr>
      </w:pPr>
      <w:r w:rsidRPr="00AB647A">
        <w:rPr>
          <w:rFonts w:ascii="Arial" w:hAnsi="Arial" w:cs="Arial"/>
          <w:lang w:val="bg-BG"/>
        </w:rPr>
        <w:lastRenderedPageBreak/>
        <w:br/>
      </w:r>
    </w:p>
    <w:p w14:paraId="467E509F" w14:textId="77777777" w:rsidR="00AB647A" w:rsidRPr="00AB647A" w:rsidRDefault="00AB647A" w:rsidP="00AB647A">
      <w:pPr>
        <w:rPr>
          <w:rFonts w:ascii="Arial" w:hAnsi="Arial" w:cs="Arial"/>
          <w:lang w:val="bg-BG"/>
        </w:rPr>
      </w:pPr>
    </w:p>
    <w:p w14:paraId="26E5359A" w14:textId="77777777" w:rsidR="00F878C4" w:rsidRPr="00AB647A" w:rsidRDefault="00F878C4">
      <w:pPr>
        <w:rPr>
          <w:rFonts w:ascii="Arial" w:hAnsi="Arial" w:cs="Arial"/>
          <w:lang w:val="bg-BG"/>
        </w:rPr>
      </w:pPr>
    </w:p>
    <w:sectPr w:rsidR="00F878C4" w:rsidRPr="00AB6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7A"/>
    <w:rsid w:val="0092005F"/>
    <w:rsid w:val="00934380"/>
    <w:rsid w:val="00AB647A"/>
    <w:rsid w:val="00AF7599"/>
    <w:rsid w:val="00D811EC"/>
    <w:rsid w:val="00DC0E8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DED5"/>
  <w15:chartTrackingRefBased/>
  <w15:docId w15:val="{36C72308-3AAA-4D68-8282-4B912B0E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6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AB6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47A"/>
    <w:rPr>
      <w:rFonts w:eastAsiaTheme="majorEastAsia" w:cstheme="majorBidi"/>
      <w:color w:val="272727" w:themeColor="text1" w:themeTint="D8"/>
    </w:rPr>
  </w:style>
  <w:style w:type="paragraph" w:styleId="Title">
    <w:name w:val="Title"/>
    <w:basedOn w:val="Normal"/>
    <w:next w:val="Normal"/>
    <w:link w:val="TitleChar"/>
    <w:uiPriority w:val="10"/>
    <w:qFormat/>
    <w:rsid w:val="00AB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47A"/>
    <w:pPr>
      <w:spacing w:before="160"/>
      <w:jc w:val="center"/>
    </w:pPr>
    <w:rPr>
      <w:i/>
      <w:iCs/>
      <w:color w:val="404040" w:themeColor="text1" w:themeTint="BF"/>
    </w:rPr>
  </w:style>
  <w:style w:type="character" w:customStyle="1" w:styleId="QuoteChar">
    <w:name w:val="Quote Char"/>
    <w:basedOn w:val="DefaultParagraphFont"/>
    <w:link w:val="Quote"/>
    <w:uiPriority w:val="29"/>
    <w:rsid w:val="00AB647A"/>
    <w:rPr>
      <w:i/>
      <w:iCs/>
      <w:color w:val="404040" w:themeColor="text1" w:themeTint="BF"/>
    </w:rPr>
  </w:style>
  <w:style w:type="character" w:styleId="IntenseEmphasis">
    <w:name w:val="Intense Emphasis"/>
    <w:basedOn w:val="DefaultParagraphFont"/>
    <w:uiPriority w:val="21"/>
    <w:qFormat/>
    <w:rsid w:val="00AB647A"/>
    <w:rPr>
      <w:i/>
      <w:iCs/>
      <w:color w:val="2F5496" w:themeColor="accent1" w:themeShade="BF"/>
    </w:rPr>
  </w:style>
  <w:style w:type="paragraph" w:styleId="IntenseQuote">
    <w:name w:val="Intense Quote"/>
    <w:basedOn w:val="Normal"/>
    <w:next w:val="Normal"/>
    <w:link w:val="IntenseQuoteChar"/>
    <w:uiPriority w:val="30"/>
    <w:qFormat/>
    <w:rsid w:val="00AB6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47A"/>
    <w:rPr>
      <w:i/>
      <w:iCs/>
      <w:color w:val="2F5496" w:themeColor="accent1" w:themeShade="BF"/>
    </w:rPr>
  </w:style>
  <w:style w:type="character" w:styleId="IntenseReference">
    <w:name w:val="Intense Reference"/>
    <w:basedOn w:val="DefaultParagraphFont"/>
    <w:uiPriority w:val="32"/>
    <w:qFormat/>
    <w:rsid w:val="00AB6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2</cp:revision>
  <dcterms:created xsi:type="dcterms:W3CDTF">2026-03-27T08:50:00Z</dcterms:created>
  <dcterms:modified xsi:type="dcterms:W3CDTF">2026-03-27T08:52:00Z</dcterms:modified>
</cp:coreProperties>
</file>